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 w:eastAsiaTheme="minorEastAsia"/>
          <w:bCs w:val="0"/>
          <w:szCs w:val="24"/>
          <w:lang w:eastAsia="zh-CN"/>
        </w:rPr>
      </w:pPr>
      <w:r>
        <w:drawing>
          <wp:inline distT="0" distB="0" distL="0" distR="0">
            <wp:extent cx="5943600" cy="54032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0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bCs w:val="0"/>
          <w:sz w:val="20"/>
          <w:szCs w:val="20"/>
          <w:lang w:eastAsia="zh-CN"/>
        </w:rPr>
        <w:sectPr>
          <w:footerReference r:id="rId3" w:type="default"/>
          <w:pgSz w:w="12240" w:h="15840"/>
          <w:pgMar w:top="1440" w:right="1440" w:bottom="1440" w:left="1440" w:header="720" w:footer="720" w:gutter="0"/>
          <w:cols w:space="720" w:num="1"/>
          <w:docGrid w:linePitch="360" w:charSpace="0"/>
        </w:sectPr>
      </w:pP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(B) Chromatin structure and dynamics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(C) Energy production and conversion;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(D) Cell cycle control, cell division, chromosome partitioning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(E) Amino acid transport and metabolism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(F) Nucleotide transport and metabolism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(G) Carbohydrate transport and metabolism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(H) Coenzyme transport and metabolism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(I) Lipid transport and metabolism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(J) Translation, ribosomal structure and biogenesis; (K) Transcription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(L) Replication, recombination and repair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(M) Cell wall/membrane/envelope biogenesis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(N) Cell motility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(O) Posttranslational modification, protein turnover, chaperones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(P) Inorganic ion transport and metabolism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(Q) Secondary metabolites biosynthesis, transport and catabolism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(R) General function prediction only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(S) Function unknown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(T) Signal transduction mechanism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(U) Intracellular trafficking, secretion, and vesicular transport</w:t>
      </w:r>
    </w:p>
    <w:p>
      <w:pPr>
        <w:spacing w:line="360" w:lineRule="auto"/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(X) Mobilome: prophages, transposons</w:t>
      </w:r>
    </w:p>
    <w:p>
      <w:pPr>
        <w:spacing w:line="360" w:lineRule="auto"/>
        <w:rPr>
          <w:rFonts w:ascii="Times New Roman" w:hAnsi="Times New Roman" w:cs="Times New Roman" w:eastAsiaTheme="minorEastAsia"/>
          <w:b/>
          <w:sz w:val="18"/>
          <w:szCs w:val="18"/>
          <w:lang w:eastAsia="zh-CN"/>
        </w:rPr>
      </w:pPr>
      <w:r>
        <w:rPr>
          <w:rFonts w:ascii="Times New Roman" w:hAnsi="Times New Roman" w:cs="Times New Roman" w:eastAsiaTheme="minorEastAsia"/>
          <w:bCs w:val="0"/>
          <w:sz w:val="18"/>
          <w:szCs w:val="18"/>
          <w:lang w:eastAsia="zh-CN"/>
        </w:rPr>
        <w:t>(V) Defense mechanisms</w:t>
      </w:r>
    </w:p>
    <w:p>
      <w:pPr>
        <w:spacing w:line="360" w:lineRule="auto"/>
        <w:ind w:firstLine="420"/>
        <w:jc w:val="both"/>
        <w:rPr>
          <w:rFonts w:ascii="Times New Roman" w:hAnsi="Times New Roman" w:cs="Times New Roman" w:eastAsiaTheme="minorEastAsia"/>
          <w:b/>
          <w:szCs w:val="24"/>
          <w:lang w:eastAsia="zh-CN"/>
        </w:rPr>
        <w:sectPr>
          <w:type w:val="continuous"/>
          <w:pgSz w:w="12240" w:h="15840"/>
          <w:pgMar w:top="1440" w:right="1440" w:bottom="1440" w:left="1440" w:header="720" w:footer="720" w:gutter="0"/>
          <w:cols w:space="720" w:num="2"/>
          <w:docGrid w:linePitch="360" w:charSpace="0"/>
        </w:sectPr>
      </w:pPr>
    </w:p>
    <w:p>
      <w:pPr>
        <w:spacing w:line="360" w:lineRule="auto"/>
        <w:ind w:firstLine="420"/>
        <w:jc w:val="both"/>
        <w:rPr>
          <w:rFonts w:ascii="Times New Roman" w:hAnsi="Times New Roman" w:cs="Times New Roman" w:eastAsiaTheme="minorEastAsia"/>
          <w:b/>
          <w:szCs w:val="24"/>
          <w:lang w:eastAsia="zh-CN"/>
        </w:rPr>
      </w:pPr>
    </w:p>
    <w:p>
      <w:pPr>
        <w:spacing w:line="360" w:lineRule="auto"/>
        <w:jc w:val="both"/>
        <w:rPr>
          <w:rFonts w:ascii="Times New Roman" w:hAnsi="Times New Roman" w:cs="Times New Roman" w:eastAsiaTheme="minorEastAsia"/>
          <w:bCs w:val="0"/>
          <w:szCs w:val="24"/>
          <w:lang w:eastAsia="zh-CN"/>
        </w:rPr>
      </w:pPr>
      <w:bookmarkStart w:id="0" w:name="_GoBack"/>
      <w:bookmarkEnd w:id="0"/>
      <w:r>
        <w:rPr>
          <w:rFonts w:ascii="Times New Roman" w:hAnsi="Times New Roman" w:cs="Times New Roman" w:eastAsiaTheme="minorEastAsia"/>
          <w:b/>
          <w:szCs w:val="24"/>
          <w:lang w:eastAsia="zh-CN"/>
        </w:rPr>
        <w:t>Fig</w:t>
      </w:r>
      <w:r>
        <w:rPr>
          <w:rFonts w:hint="default" w:ascii="Times New Roman" w:hAnsi="Times New Roman" w:cs="Times New Roman" w:eastAsiaTheme="minorEastAsia"/>
          <w:b/>
          <w:szCs w:val="24"/>
          <w:lang w:val="en-US" w:eastAsia="zh-CN"/>
        </w:rPr>
        <w:t>. S6</w:t>
      </w:r>
      <w:r>
        <w:rPr>
          <w:rFonts w:ascii="Times New Roman" w:hAnsi="Times New Roman" w:cs="Times New Roman" w:eastAsiaTheme="minorEastAsia"/>
          <w:bCs w:val="0"/>
          <w:szCs w:val="24"/>
          <w:lang w:eastAsia="zh-CN"/>
        </w:rPr>
        <w:t xml:space="preserve"> Clusters of orthologous categories (COGs) of 747 up- and 575 downregulated genes in FAs</w:t>
      </w:r>
      <w:r>
        <w:rPr>
          <w:rFonts w:hint="default" w:ascii="Times New Roman" w:hAnsi="Times New Roman" w:cs="Times New Roman" w:eastAsiaTheme="minorEastAsia"/>
          <w:bCs w:val="0"/>
          <w:szCs w:val="24"/>
          <w:lang w:val="en-US" w:eastAsia="zh-CN"/>
        </w:rPr>
        <w:t>1</w:t>
      </w:r>
      <w:r>
        <w:rPr>
          <w:rFonts w:ascii="Times New Roman" w:hAnsi="Times New Roman" w:cs="Times New Roman" w:eastAsiaTheme="minorEastAsia"/>
          <w:bCs w:val="0"/>
          <w:szCs w:val="24"/>
          <w:lang w:eastAsia="zh-CN"/>
        </w:rPr>
        <w:t>, 638 up- and 567 downregulated genes in GAs</w:t>
      </w:r>
      <w:r>
        <w:rPr>
          <w:rFonts w:hint="default" w:ascii="Times New Roman" w:hAnsi="Times New Roman" w:cs="Times New Roman" w:eastAsiaTheme="minorEastAsia"/>
          <w:bCs w:val="0"/>
          <w:szCs w:val="24"/>
          <w:lang w:val="en-US" w:eastAsia="zh-CN"/>
        </w:rPr>
        <w:t>1</w:t>
      </w:r>
      <w:r>
        <w:rPr>
          <w:rFonts w:ascii="Times New Roman" w:hAnsi="Times New Roman" w:cs="Times New Roman" w:eastAsiaTheme="minorEastAsia"/>
          <w:bCs w:val="0"/>
          <w:szCs w:val="24"/>
          <w:lang w:eastAsia="zh-CN"/>
        </w:rPr>
        <w:t xml:space="preserve"> compared with CGs</w:t>
      </w:r>
      <w:r>
        <w:rPr>
          <w:rFonts w:hint="default" w:ascii="Times New Roman" w:hAnsi="Times New Roman" w:cs="Times New Roman" w:eastAsiaTheme="minorEastAsia"/>
          <w:bCs w:val="0"/>
          <w:szCs w:val="24"/>
          <w:lang w:val="en-US" w:eastAsia="zh-CN"/>
        </w:rPr>
        <w:t>1</w:t>
      </w:r>
      <w:r>
        <w:rPr>
          <w:rFonts w:ascii="Times New Roman" w:hAnsi="Times New Roman" w:cs="Times New Roman" w:eastAsiaTheme="minorEastAsia"/>
          <w:bCs w:val="0"/>
          <w:szCs w:val="24"/>
          <w:lang w:eastAsia="zh-CN"/>
        </w:rPr>
        <w:t xml:space="preserve"> (Note: Since COGs are sometimes overlapped, the sum of COGs-annotated genes is larger than the number of </w:t>
      </w:r>
      <w:r>
        <w:rPr>
          <w:rFonts w:hint="default" w:ascii="Times New Roman" w:hAnsi="Times New Roman" w:cs="Times New Roman" w:eastAsiaTheme="minorEastAsia"/>
          <w:bCs w:val="0"/>
          <w:szCs w:val="24"/>
          <w:lang w:val="en-US" w:eastAsia="zh-CN"/>
        </w:rPr>
        <w:t xml:space="preserve">the </w:t>
      </w:r>
      <w:r>
        <w:rPr>
          <w:rFonts w:ascii="Times New Roman" w:hAnsi="Times New Roman" w:cs="Times New Roman" w:eastAsiaTheme="minorEastAsia"/>
          <w:bCs w:val="0"/>
          <w:szCs w:val="24"/>
          <w:lang w:eastAsia="zh-CN"/>
        </w:rPr>
        <w:t>total DEGs.</w:t>
      </w:r>
    </w:p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67442341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CF"/>
    <w:rsid w:val="003A485D"/>
    <w:rsid w:val="005128AF"/>
    <w:rsid w:val="006B42CF"/>
    <w:rsid w:val="00E9178B"/>
    <w:rsid w:val="1B9027B6"/>
    <w:rsid w:val="608A1C8D"/>
    <w:rsid w:val="61A2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HAnsi" w:cstheme="minorHAns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Theme="minorHAnsi" w:cstheme="minorHAnsi"/>
      <w:bCs/>
      <w:sz w:val="24"/>
      <w:szCs w:val="3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3">
    <w:name w:val="footer"/>
    <w:basedOn w:val="1"/>
    <w:link w:val="6"/>
    <w:unhideWhenUsed/>
    <w:qFormat/>
    <w:uiPriority w:val="99"/>
    <w:pPr>
      <w:tabs>
        <w:tab w:val="center" w:pos="4680"/>
        <w:tab w:val="right" w:pos="9360"/>
      </w:tabs>
    </w:pPr>
    <w:rPr>
      <w:rFonts w:asciiTheme="minorHAnsi" w:hAnsiTheme="minorHAnsi" w:eastAsiaTheme="minorEastAsia" w:cstheme="minorBidi"/>
      <w:bCs w:val="0"/>
      <w:sz w:val="20"/>
      <w:szCs w:val="20"/>
      <w:lang w:eastAsia="zh-CN"/>
    </w:rPr>
  </w:style>
  <w:style w:type="character" w:customStyle="1" w:styleId="6">
    <w:name w:val="Footer Char"/>
    <w:basedOn w:val="4"/>
    <w:link w:val="3"/>
    <w:qFormat/>
    <w:uiPriority w:val="99"/>
    <w:rPr>
      <w:rFonts w:asciiTheme="minorHAnsi" w:hAnsiTheme="minorHAnsi" w:eastAsiaTheme="minorEastAsia" w:cstheme="minorBidi"/>
      <w:sz w:val="20"/>
      <w:szCs w:val="20"/>
      <w:lang w:eastAsia="zh-CN"/>
    </w:rPr>
  </w:style>
  <w:style w:type="character" w:customStyle="1" w:styleId="7">
    <w:name w:val="Balloon Text Char"/>
    <w:basedOn w:val="4"/>
    <w:link w:val="2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tif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175</Words>
  <Characters>1004</Characters>
  <Lines>8</Lines>
  <Paragraphs>2</Paragraphs>
  <TotalTime>27</TotalTime>
  <ScaleCrop>false</ScaleCrop>
  <LinksUpToDate>false</LinksUpToDate>
  <CharactersWithSpaces>1177</CharactersWithSpaces>
  <Application>WPS Office_11.2.0.9684_F1E327BC-269C-435d-A152-05C5408002CA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2020-10-12T02:48:00Z</dcterms:created>
  <dc:creator>Minh Dung Ha Tran</dc:creator>
  <cp:lastModifiedBy>Ha Tran Minh Dung</cp:lastModifiedBy>
  <dcterms:modified xsi:type="dcterms:W3CDTF">2020-10-15T07:53:14Z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